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Default="00965E62">
      <w:r>
        <w:t>The gist of the 1</w:t>
      </w:r>
      <w:r w:rsidRPr="00965E62">
        <w:rPr>
          <w:vertAlign w:val="superscript"/>
        </w:rPr>
        <w:t>st</w:t>
      </w:r>
      <w:r>
        <w:t xml:space="preserve"> three recordings of the Texas Senate Hearing October 11, 2006 [Ex 2-3, 2-3a, 2-3b]</w:t>
      </w:r>
    </w:p>
    <w:p w:rsidR="00965E62" w:rsidRPr="00965E62" w:rsidRDefault="00965E62" w:rsidP="00965E62">
      <w:pPr>
        <w:spacing w:before="100" w:beforeAutospacing="1" w:after="100" w:afterAutospacing="1" w:line="240" w:lineRule="auto"/>
        <w:ind w:firstLine="0"/>
      </w:pPr>
      <w:r w:rsidRPr="00965E62">
        <w:t>The discussions revolve around the comparison between electronic recording systems and traditional stenographic court reporters in Texas courts. Key points include:</w:t>
      </w:r>
    </w:p>
    <w:p w:rsidR="00965E62" w:rsidRPr="00965E62" w:rsidRDefault="00965E62" w:rsidP="00965E62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Accuracy and Reliability</w:t>
      </w:r>
      <w:r w:rsidRPr="00965E62">
        <w:t>: Concerns about the accuracy of electronic systems, especially in critical cases, versus the proven reliability of certified court reporters.</w:t>
      </w:r>
    </w:p>
    <w:p w:rsidR="00965E62" w:rsidRPr="00965E62" w:rsidRDefault="00965E62" w:rsidP="00965E62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Cost Implications</w:t>
      </w:r>
      <w:r w:rsidRPr="00965E62">
        <w:t>: Debate on the cost-effectiveness of electronic systems versus the salaries and benefits of court reporters.</w:t>
      </w:r>
    </w:p>
    <w:p w:rsidR="00965E62" w:rsidRPr="00965E62" w:rsidRDefault="00965E62" w:rsidP="00965E62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Statutory Authority</w:t>
      </w:r>
      <w:r w:rsidRPr="00965E62">
        <w:t>: Issues with current statutes (e.g., Sections 52.041 and 36.28) that mandate court reporters, requiring legislative changes for electronic systems.</w:t>
      </w:r>
    </w:p>
    <w:p w:rsidR="00965E62" w:rsidRPr="00965E62" w:rsidRDefault="00965E62" w:rsidP="00965E62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Judicial Discretion vs. County Authority</w:t>
      </w:r>
      <w:r w:rsidRPr="00965E62">
        <w:t>: Whether judges or county commissioners should decide on the adoption of recording methods.</w:t>
      </w:r>
    </w:p>
    <w:p w:rsidR="00965E62" w:rsidRPr="00965E62" w:rsidRDefault="00965E62" w:rsidP="00965E62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Liability and Accountability</w:t>
      </w:r>
      <w:r w:rsidRPr="00965E62">
        <w:t>: Questions about liability for errors in electronic recordings and the accountability of operators versus certified court reporters.</w:t>
      </w:r>
    </w:p>
    <w:p w:rsidR="00965E62" w:rsidRPr="00965E62" w:rsidRDefault="00965E62" w:rsidP="00965E62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Retention and Recovery</w:t>
      </w:r>
      <w:r w:rsidRPr="00965E62">
        <w:t>: Challenges in retaining and recovering electronic records, with examples of system failures leading to appellate issues.</w:t>
      </w:r>
    </w:p>
    <w:p w:rsidR="00965E62" w:rsidRDefault="00965E62" w:rsidP="00965E62">
      <w:pPr>
        <w:spacing w:before="100" w:beforeAutospacing="1" w:after="100" w:afterAutospacing="1" w:line="240" w:lineRule="auto"/>
        <w:ind w:firstLine="0"/>
      </w:pPr>
      <w:r w:rsidRPr="00965E62">
        <w:t>The discussions highlight the need to balance technological advancements with the integrity and functionality of the judicial process.</w:t>
      </w:r>
    </w:p>
    <w:p w:rsidR="00CC6782" w:rsidRDefault="00CC6782" w:rsidP="00965E62">
      <w:pPr>
        <w:spacing w:before="100" w:beforeAutospacing="1" w:after="100" w:afterAutospacing="1" w:line="240" w:lineRule="auto"/>
        <w:ind w:firstLine="0"/>
      </w:pPr>
    </w:p>
    <w:p w:rsidR="00CC6782" w:rsidRPr="00965E62" w:rsidRDefault="00CC6782" w:rsidP="00965E62">
      <w:pPr>
        <w:spacing w:before="100" w:beforeAutospacing="1" w:after="100" w:afterAutospacing="1" w:line="240" w:lineRule="auto"/>
        <w:ind w:firstLine="0"/>
      </w:pPr>
    </w:p>
    <w:p w:rsidR="00965E62" w:rsidRDefault="00965E62">
      <w:r>
        <w:t xml:space="preserve">The gist of the </w:t>
      </w:r>
      <w:r>
        <w:t xml:space="preserve">last 6 recordings </w:t>
      </w:r>
      <w:r>
        <w:t xml:space="preserve">of the </w:t>
      </w:r>
      <w:bookmarkStart w:id="0" w:name="_GoBack"/>
      <w:r>
        <w:t>Texas Senate Hearing October 11, 2006</w:t>
      </w:r>
      <w:r>
        <w:t xml:space="preserve"> </w:t>
      </w:r>
      <w:bookmarkEnd w:id="0"/>
      <w:r>
        <w:t>[Ex 2-3</w:t>
      </w:r>
      <w:r>
        <w:t>g, 2-3h, 2-3i, 2-3j, 2-3j]</w:t>
      </w:r>
    </w:p>
    <w:p w:rsidR="00965E62" w:rsidRPr="00965E62" w:rsidRDefault="00965E62" w:rsidP="00965E62">
      <w:pPr>
        <w:spacing w:before="100" w:beforeAutospacing="1" w:after="100" w:afterAutospacing="1" w:line="240" w:lineRule="auto"/>
        <w:ind w:firstLine="0"/>
      </w:pPr>
      <w:r w:rsidRPr="00965E62">
        <w:t>The discussions center on judicial bias, misconduct, and systemic issues in Texas probate courts. Key themes include:</w:t>
      </w:r>
    </w:p>
    <w:p w:rsidR="00965E62" w:rsidRPr="00965E62" w:rsidRDefault="00965E62" w:rsidP="00965E62">
      <w:pPr>
        <w:numPr>
          <w:ilvl w:val="0"/>
          <w:numId w:val="46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Judicial Recusal and Bias</w:t>
      </w:r>
      <w:r w:rsidRPr="00965E62">
        <w:t>: Concerns about judges failing to recuse themselves despite conflicts of interest, leading to perceptions of partiality and cronyism.</w:t>
      </w:r>
    </w:p>
    <w:p w:rsidR="00965E62" w:rsidRPr="00965E62" w:rsidRDefault="00965E62" w:rsidP="00965E62">
      <w:pPr>
        <w:numPr>
          <w:ilvl w:val="0"/>
          <w:numId w:val="46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Ex Parte Communications</w:t>
      </w:r>
      <w:r w:rsidRPr="00965E62">
        <w:t>: Allegations of improper communications between judges and parties, undermining fairness.</w:t>
      </w:r>
    </w:p>
    <w:p w:rsidR="00965E62" w:rsidRPr="00965E62" w:rsidRDefault="00965E62" w:rsidP="00965E62">
      <w:pPr>
        <w:numPr>
          <w:ilvl w:val="0"/>
          <w:numId w:val="46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Fiduciary Misconduct</w:t>
      </w:r>
      <w:r w:rsidRPr="00965E62">
        <w:t>: Issues with court-appointed trustees and guardians mismanaging or exploiting estates, often with judicial approval.</w:t>
      </w:r>
    </w:p>
    <w:p w:rsidR="00965E62" w:rsidRPr="00965E62" w:rsidRDefault="00965E62" w:rsidP="00965E62">
      <w:pPr>
        <w:numPr>
          <w:ilvl w:val="0"/>
          <w:numId w:val="46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Legislative Gaps</w:t>
      </w:r>
      <w:r w:rsidRPr="00965E62">
        <w:t>: Calls for clearer statutes to limit judicial discretion, ensure accountability, and protect beneficiaries.</w:t>
      </w:r>
    </w:p>
    <w:p w:rsidR="00965E62" w:rsidRPr="00965E62" w:rsidRDefault="00965E62" w:rsidP="00965E62">
      <w:pPr>
        <w:numPr>
          <w:ilvl w:val="0"/>
          <w:numId w:val="46"/>
        </w:numPr>
        <w:spacing w:before="100" w:beforeAutospacing="1" w:after="100" w:afterAutospacing="1" w:line="240" w:lineRule="auto"/>
      </w:pPr>
      <w:r w:rsidRPr="00965E62">
        <w:rPr>
          <w:b/>
          <w:bCs/>
        </w:rPr>
        <w:t>Systemic Reform</w:t>
      </w:r>
      <w:r w:rsidRPr="00965E62">
        <w:t>: Proposals for independent oversight, such as inspector generals or external judges for recusal hearings, to restore trust in the system.</w:t>
      </w:r>
    </w:p>
    <w:p w:rsidR="00965E62" w:rsidRDefault="00965E62" w:rsidP="00965E62">
      <w:pPr>
        <w:spacing w:before="100" w:beforeAutospacing="1" w:after="100" w:afterAutospacing="1" w:line="240" w:lineRule="auto"/>
        <w:ind w:firstLine="0"/>
      </w:pPr>
      <w:r w:rsidRPr="00965E62">
        <w:lastRenderedPageBreak/>
        <w:t>The overarching concern is the need for legislative and procedural reforms to address abuses and ensure justice in probate proceedings.</w:t>
      </w:r>
    </w:p>
    <w:p w:rsidR="00965E62" w:rsidRDefault="00965E62" w:rsidP="00965E62">
      <w:pPr>
        <w:spacing w:before="100" w:beforeAutospacing="1" w:after="100" w:afterAutospacing="1" w:line="240" w:lineRule="auto"/>
        <w:ind w:firstLine="0"/>
      </w:pPr>
      <w:r>
        <w:t>That leaves only [Ex 2-3c, 2-3d, 2-3e, 2-3f] which I will ask cetient to analyze tomorrow.</w:t>
      </w:r>
    </w:p>
    <w:p w:rsidR="00965E62" w:rsidRPr="00965E62" w:rsidRDefault="00965E62" w:rsidP="00965E62">
      <w:pPr>
        <w:spacing w:before="100" w:beforeAutospacing="1" w:after="100" w:afterAutospacing="1" w:line="240" w:lineRule="auto"/>
        <w:ind w:firstLine="0"/>
      </w:pPr>
    </w:p>
    <w:p w:rsidR="00965E62" w:rsidRDefault="00965E62"/>
    <w:sectPr w:rsidR="00965E62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76847"/>
    <w:multiLevelType w:val="multilevel"/>
    <w:tmpl w:val="5B80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3E1F"/>
    <w:multiLevelType w:val="hybridMultilevel"/>
    <w:tmpl w:val="6B8074D6"/>
    <w:lvl w:ilvl="0" w:tplc="5C9E7B8E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33192"/>
    <w:multiLevelType w:val="multilevel"/>
    <w:tmpl w:val="CE44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8"/>
  </w:num>
  <w:num w:numId="15">
    <w:abstractNumId w:val="8"/>
  </w:num>
  <w:num w:numId="16">
    <w:abstractNumId w:val="10"/>
  </w:num>
  <w:num w:numId="17">
    <w:abstractNumId w:val="8"/>
  </w:num>
  <w:num w:numId="18">
    <w:abstractNumId w:val="8"/>
  </w:num>
  <w:num w:numId="19">
    <w:abstractNumId w:val="8"/>
  </w:num>
  <w:num w:numId="20">
    <w:abstractNumId w:val="10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10"/>
  </w:num>
  <w:num w:numId="29">
    <w:abstractNumId w:val="8"/>
  </w:num>
  <w:num w:numId="30">
    <w:abstractNumId w:val="11"/>
  </w:num>
  <w:num w:numId="31">
    <w:abstractNumId w:val="11"/>
  </w:num>
  <w:num w:numId="32">
    <w:abstractNumId w:val="11"/>
  </w:num>
  <w:num w:numId="33">
    <w:abstractNumId w:val="10"/>
  </w:num>
  <w:num w:numId="34">
    <w:abstractNumId w:val="0"/>
  </w:num>
  <w:num w:numId="35">
    <w:abstractNumId w:val="0"/>
  </w:num>
  <w:num w:numId="36">
    <w:abstractNumId w:val="10"/>
  </w:num>
  <w:num w:numId="37">
    <w:abstractNumId w:val="0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"/>
  </w:num>
  <w:num w:numId="41">
    <w:abstractNumId w:val="4"/>
  </w:num>
  <w:num w:numId="42">
    <w:abstractNumId w:val="4"/>
  </w:num>
  <w:num w:numId="43">
    <w:abstractNumId w:val="5"/>
  </w:num>
  <w:num w:numId="44">
    <w:abstractNumId w:val="4"/>
  </w:num>
  <w:num w:numId="45">
    <w:abstractNumId w:val="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62"/>
    <w:rsid w:val="00003545"/>
    <w:rsid w:val="0002109F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073E6"/>
    <w:rsid w:val="005157AC"/>
    <w:rsid w:val="00537D5C"/>
    <w:rsid w:val="0055091F"/>
    <w:rsid w:val="005B4D26"/>
    <w:rsid w:val="005C4D87"/>
    <w:rsid w:val="005C53EF"/>
    <w:rsid w:val="005E0485"/>
    <w:rsid w:val="00632E36"/>
    <w:rsid w:val="00644CA5"/>
    <w:rsid w:val="00653D93"/>
    <w:rsid w:val="006A479E"/>
    <w:rsid w:val="006B3E57"/>
    <w:rsid w:val="007158F1"/>
    <w:rsid w:val="00721920"/>
    <w:rsid w:val="00727055"/>
    <w:rsid w:val="007322BB"/>
    <w:rsid w:val="007515B7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65E62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A17D1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15BE"/>
    <w:rsid w:val="00CB2AE0"/>
    <w:rsid w:val="00CC6782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5073E6"/>
    <w:pPr>
      <w:numPr>
        <w:numId w:val="42"/>
      </w:numPr>
      <w:pBdr>
        <w:bottom w:val="none" w:sz="0" w:space="0" w:color="auto"/>
      </w:pBdr>
      <w:spacing w:after="240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5C4D87"/>
    <w:pPr>
      <w:spacing w:before="120" w:after="240"/>
      <w:ind w:left="720" w:right="720"/>
      <w:contextualSpacing/>
      <w:jc w:val="both"/>
    </w:pPr>
    <w:rPr>
      <w:rFonts w:ascii="Times New Roman" w:hAnsi="Times New Roman"/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5C4D87"/>
    <w:rPr>
      <w:rFonts w:ascii="Times New Roman" w:hAnsi="Times New Roman"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5073E6"/>
    <w:rPr>
      <w:rFonts w:ascii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styleId="Strong">
    <w:name w:val="Strong"/>
    <w:basedOn w:val="DefaultParagraphFont"/>
    <w:uiPriority w:val="22"/>
    <w:qFormat/>
    <w:rsid w:val="00965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5073E6"/>
    <w:pPr>
      <w:numPr>
        <w:numId w:val="42"/>
      </w:numPr>
      <w:pBdr>
        <w:bottom w:val="none" w:sz="0" w:space="0" w:color="auto"/>
      </w:pBdr>
      <w:spacing w:after="240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5C4D87"/>
    <w:pPr>
      <w:spacing w:before="120" w:after="240"/>
      <w:ind w:left="720" w:right="720"/>
      <w:contextualSpacing/>
      <w:jc w:val="both"/>
    </w:pPr>
    <w:rPr>
      <w:rFonts w:ascii="Times New Roman" w:hAnsi="Times New Roman"/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5C4D87"/>
    <w:rPr>
      <w:rFonts w:ascii="Times New Roman" w:hAnsi="Times New Roman"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5073E6"/>
    <w:rPr>
      <w:rFonts w:ascii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styleId="Strong">
    <w:name w:val="Strong"/>
    <w:basedOn w:val="DefaultParagraphFont"/>
    <w:uiPriority w:val="22"/>
    <w:qFormat/>
    <w:rsid w:val="0096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MikRonson@att.net</dc:creator>
  <cp:lastModifiedBy>MikRonson@att.net</cp:lastModifiedBy>
  <cp:revision>1</cp:revision>
  <dcterms:created xsi:type="dcterms:W3CDTF">2025-04-14T15:17:00Z</dcterms:created>
  <dcterms:modified xsi:type="dcterms:W3CDTF">2025-04-14T15:39:00Z</dcterms:modified>
</cp:coreProperties>
</file>